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442F0" w14:textId="38A43578" w:rsidR="00040234" w:rsidRPr="00CF24BF" w:rsidRDefault="00ED54C6" w:rsidP="00AF4B84">
      <w:pPr>
        <w:jc w:val="center"/>
        <w:rPr>
          <w:b/>
        </w:rPr>
      </w:pPr>
      <w:r w:rsidRPr="00CF24BF">
        <w:rPr>
          <w:b/>
        </w:rPr>
        <w:t xml:space="preserve">Рекомендации по подбору </w:t>
      </w:r>
      <w:r w:rsidR="00040234" w:rsidRPr="00CF24BF">
        <w:rPr>
          <w:b/>
        </w:rPr>
        <w:t xml:space="preserve">компонентов системы «ТермоСенсор» для </w:t>
      </w:r>
      <w:r w:rsidR="00CF24BF" w:rsidRPr="00E24546">
        <w:rPr>
          <w:b/>
          <w:color w:val="000000" w:themeColor="text1"/>
        </w:rPr>
        <w:t xml:space="preserve">предотвращения возгораний </w:t>
      </w:r>
      <w:r w:rsidR="00CF24BF" w:rsidRPr="00CF24BF">
        <w:rPr>
          <w:b/>
        </w:rPr>
        <w:t>в</w:t>
      </w:r>
      <w:r w:rsidR="00040234" w:rsidRPr="00CF24BF">
        <w:rPr>
          <w:b/>
        </w:rPr>
        <w:t xml:space="preserve"> ВРУ, ГРЩ, распределительных пункт</w:t>
      </w:r>
      <w:r w:rsidR="00CF24BF" w:rsidRPr="00CF24BF">
        <w:rPr>
          <w:b/>
        </w:rPr>
        <w:t>ах</w:t>
      </w:r>
      <w:r w:rsidR="00040234" w:rsidRPr="00CF24BF">
        <w:rPr>
          <w:b/>
        </w:rPr>
        <w:t xml:space="preserve"> и групповых щитк</w:t>
      </w:r>
      <w:r w:rsidR="00CF24BF" w:rsidRPr="00CF24BF">
        <w:rPr>
          <w:b/>
        </w:rPr>
        <w:t>ах</w:t>
      </w:r>
      <w:r w:rsidR="00040234" w:rsidRPr="00CF24BF">
        <w:rPr>
          <w:b/>
        </w:rPr>
        <w:t xml:space="preserve"> 220</w:t>
      </w:r>
      <w:r w:rsidR="00777799" w:rsidRPr="00CF24BF">
        <w:rPr>
          <w:b/>
        </w:rPr>
        <w:t>/</w:t>
      </w:r>
      <w:r w:rsidR="00040234" w:rsidRPr="00CF24BF">
        <w:rPr>
          <w:b/>
        </w:rPr>
        <w:t>380</w:t>
      </w:r>
      <w:proofErr w:type="gramStart"/>
      <w:r w:rsidR="00040234" w:rsidRPr="00CF24BF">
        <w:rPr>
          <w:b/>
        </w:rPr>
        <w:t xml:space="preserve"> В</w:t>
      </w:r>
      <w:proofErr w:type="gramEnd"/>
      <w:r w:rsidR="00040234" w:rsidRPr="00CF24BF">
        <w:rPr>
          <w:b/>
        </w:rPr>
        <w:t xml:space="preserve"> зданий и сооружений</w:t>
      </w:r>
    </w:p>
    <w:p w14:paraId="1EA7FE36" w14:textId="309F4F5A" w:rsidR="00040234" w:rsidRDefault="00040234" w:rsidP="00116C86"/>
    <w:p w14:paraId="335003F4" w14:textId="797744D7" w:rsidR="00C244BF" w:rsidRDefault="00C244BF" w:rsidP="00C244BF">
      <w:pPr>
        <w:ind w:firstLine="708"/>
        <w:jc w:val="both"/>
      </w:pPr>
      <w:r>
        <w:t>Для предупреждения пожаров в силовых электрических сетях по причине перегрева контактных соединений предусмотрены следующие виды контроля:</w:t>
      </w:r>
      <w:r w:rsidR="00ED54C6">
        <w:t xml:space="preserve"> в</w:t>
      </w:r>
      <w:r>
        <w:t xml:space="preserve">изуальное обнаружение перегрева с помощью термоиндикаторных наклеек </w:t>
      </w:r>
      <w:r w:rsidR="00ED54C6">
        <w:t>и автоматическое обнаружение перегрева газоаналитической системой «ТермоСенсор».</w:t>
      </w:r>
    </w:p>
    <w:p w14:paraId="6F98F2F9" w14:textId="296BAE7C" w:rsidR="00ED54C6" w:rsidRDefault="00ED54C6" w:rsidP="00C244BF">
      <w:pPr>
        <w:ind w:firstLine="708"/>
        <w:jc w:val="both"/>
      </w:pPr>
      <w:r>
        <w:t>Визуальная система контроля перег</w:t>
      </w:r>
      <w:bookmarkStart w:id="0" w:name="_GoBack"/>
      <w:bookmarkEnd w:id="0"/>
      <w:r>
        <w:t xml:space="preserve">рева используется на следующем оборудовании: </w:t>
      </w:r>
    </w:p>
    <w:p w14:paraId="02B5D7EC" w14:textId="47B0E5CE" w:rsidR="0000562B" w:rsidRDefault="00C244BF" w:rsidP="00C244BF">
      <w:pPr>
        <w:jc w:val="both"/>
      </w:pPr>
      <w:r>
        <w:t>– в</w:t>
      </w:r>
      <w:r w:rsidR="0000562B">
        <w:t>водны</w:t>
      </w:r>
      <w:r w:rsidR="00ED54C6">
        <w:t>е</w:t>
      </w:r>
      <w:r w:rsidR="0000562B">
        <w:t xml:space="preserve"> устройства</w:t>
      </w:r>
      <w:r w:rsidR="00ED54C6">
        <w:t xml:space="preserve"> и главные распределительные щиты (ВУ, ВРУ, ГРЩ) </w:t>
      </w:r>
      <w:r>
        <w:t xml:space="preserve">при </w:t>
      </w:r>
      <w:r w:rsidR="0000562B">
        <w:rPr>
          <w:lang w:val="en-US"/>
        </w:rPr>
        <w:t>I</w:t>
      </w:r>
      <w:r w:rsidR="0000562B">
        <w:t>ном </w:t>
      </w:r>
      <w:r>
        <w:t xml:space="preserve">коммутационных аппаратов менее </w:t>
      </w:r>
      <w:r w:rsidR="0000562B">
        <w:t>80 А</w:t>
      </w:r>
      <w:r>
        <w:t>,</w:t>
      </w:r>
      <w:r w:rsidR="0000562B">
        <w:t xml:space="preserve"> </w:t>
      </w:r>
    </w:p>
    <w:p w14:paraId="43D87593" w14:textId="5DCD1E3E" w:rsidR="00052624" w:rsidRDefault="0000562B" w:rsidP="00C244BF">
      <w:pPr>
        <w:jc w:val="both"/>
      </w:pPr>
      <w:r>
        <w:t xml:space="preserve">– </w:t>
      </w:r>
      <w:r w:rsidR="00C244BF">
        <w:t>р</w:t>
      </w:r>
      <w:r w:rsidR="00052624">
        <w:t>аспределительны</w:t>
      </w:r>
      <w:r w:rsidR="00ED54C6">
        <w:t>е</w:t>
      </w:r>
      <w:r w:rsidR="00052624">
        <w:t xml:space="preserve"> </w:t>
      </w:r>
      <w:r w:rsidR="00ED54C6">
        <w:t xml:space="preserve">и </w:t>
      </w:r>
      <w:r w:rsidR="00052624">
        <w:t>групповы</w:t>
      </w:r>
      <w:r w:rsidR="00ED54C6">
        <w:t>е</w:t>
      </w:r>
      <w:r w:rsidR="00052624">
        <w:t xml:space="preserve"> щитк</w:t>
      </w:r>
      <w:r w:rsidR="00ED54C6">
        <w:t>и</w:t>
      </w:r>
      <w:r w:rsidR="00052624">
        <w:t xml:space="preserve"> (</w:t>
      </w:r>
      <w:r w:rsidR="00ED54C6">
        <w:t xml:space="preserve">ЩР, </w:t>
      </w:r>
      <w:r w:rsidR="00052624">
        <w:t>ЩО, ЩС)</w:t>
      </w:r>
      <w:r w:rsidR="00ED54C6">
        <w:t xml:space="preserve">, </w:t>
      </w:r>
      <w:r w:rsidR="00052624">
        <w:t xml:space="preserve">за исключением </w:t>
      </w:r>
      <w:r w:rsidR="00140F37" w:rsidRPr="00140F37">
        <w:t>питающи</w:t>
      </w:r>
      <w:r w:rsidR="00140F37">
        <w:t>х</w:t>
      </w:r>
      <w:r w:rsidR="00140F37" w:rsidRPr="00140F37">
        <w:t xml:space="preserve"> помещения с постоянным пребыванием маломобильных граждан, детей и лиц пожилого возраста</w:t>
      </w:r>
      <w:r w:rsidR="00C244BF">
        <w:t>.</w:t>
      </w:r>
    </w:p>
    <w:p w14:paraId="32FACE6F" w14:textId="5D680577" w:rsidR="00C244BF" w:rsidRDefault="00C244BF" w:rsidP="00C244BF">
      <w:pPr>
        <w:jc w:val="both"/>
      </w:pPr>
      <w:r>
        <w:tab/>
      </w:r>
      <w:r w:rsidR="00ED54C6">
        <w:t xml:space="preserve">Автоматическая система контроля перегрева «ТермоСенсор» используется </w:t>
      </w:r>
      <w:r>
        <w:t>на:</w:t>
      </w:r>
    </w:p>
    <w:p w14:paraId="62FBC825" w14:textId="0A4EE765" w:rsidR="00ED54C6" w:rsidRDefault="00ED54C6" w:rsidP="00ED54C6">
      <w:pPr>
        <w:jc w:val="both"/>
      </w:pPr>
      <w:r>
        <w:t xml:space="preserve">– вводных устройствах и главных распределительных щитах (ВУ, ВРУ, ГРЩ) при </w:t>
      </w:r>
      <w:r>
        <w:rPr>
          <w:lang w:val="en-US"/>
        </w:rPr>
        <w:t>I</w:t>
      </w:r>
      <w:r>
        <w:t xml:space="preserve">ном коммутационных аппаратов более 80 А, </w:t>
      </w:r>
    </w:p>
    <w:p w14:paraId="703A275A" w14:textId="181864C8" w:rsidR="00ED54C6" w:rsidRDefault="00ED54C6" w:rsidP="00ED54C6">
      <w:pPr>
        <w:jc w:val="both"/>
      </w:pPr>
      <w:r>
        <w:t xml:space="preserve">– распределительных и групповых щитках (ЩР, ЩО, ЩС), </w:t>
      </w:r>
      <w:r w:rsidRPr="00140F37">
        <w:t>питающи</w:t>
      </w:r>
      <w:r>
        <w:t>х</w:t>
      </w:r>
      <w:r w:rsidRPr="00140F37">
        <w:t xml:space="preserve"> помещения с постоянным пребыванием маломобильных граждан, детей и лиц пожилого возраста</w:t>
      </w:r>
      <w:r>
        <w:t>.</w:t>
      </w:r>
    </w:p>
    <w:p w14:paraId="5706B62E" w14:textId="77777777" w:rsidR="00ED54C6" w:rsidRDefault="00ED54C6" w:rsidP="00ED54C6">
      <w:pPr>
        <w:ind w:firstLine="708"/>
      </w:pPr>
    </w:p>
    <w:p w14:paraId="55D285A2" w14:textId="2C5CD20F" w:rsidR="00140F37" w:rsidRDefault="00F16C30" w:rsidP="00ED54C6">
      <w:pPr>
        <w:ind w:firstLine="708"/>
        <w:jc w:val="both"/>
      </w:pPr>
      <w:r>
        <w:t>Выбор термоиндикаторных наклеек</w:t>
      </w:r>
      <w:r w:rsidR="00ED54C6">
        <w:t xml:space="preserve"> для визуального контроля производится по табл. 1.</w:t>
      </w:r>
    </w:p>
    <w:p w14:paraId="7FF35101" w14:textId="34777F1C" w:rsidR="00ED54C6" w:rsidRDefault="00ED54C6" w:rsidP="00ED54C6"/>
    <w:p w14:paraId="675436CD" w14:textId="1E146A0F" w:rsidR="00ED54C6" w:rsidRDefault="00ED54C6" w:rsidP="00CF24BF">
      <w:pPr>
        <w:spacing w:after="120"/>
      </w:pPr>
      <w:r>
        <w:t>Таблица 1 – Выбор термоиндикаторов</w:t>
      </w:r>
    </w:p>
    <w:tbl>
      <w:tblPr>
        <w:tblStyle w:val="a4"/>
        <w:tblW w:w="9351" w:type="dxa"/>
        <w:tblInd w:w="108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140F37" w14:paraId="0991FED1" w14:textId="77777777" w:rsidTr="00CF24BF">
        <w:tc>
          <w:tcPr>
            <w:tcW w:w="4815" w:type="dxa"/>
            <w:vAlign w:val="center"/>
          </w:tcPr>
          <w:p w14:paraId="55594257" w14:textId="77777777" w:rsidR="00140F37" w:rsidRDefault="00140F37" w:rsidP="00CF24BF">
            <w:pPr>
              <w:ind w:hanging="108"/>
              <w:jc w:val="center"/>
            </w:pPr>
            <w:r>
              <w:t>Сечение проводника/</w:t>
            </w:r>
          </w:p>
          <w:p w14:paraId="53B0B1B6" w14:textId="692FE882" w:rsidR="00140F37" w:rsidRDefault="00140F37" w:rsidP="00B81ED3">
            <w:pPr>
              <w:jc w:val="center"/>
            </w:pPr>
            <w:r>
              <w:t>ток нагрузки, А</w:t>
            </w:r>
          </w:p>
        </w:tc>
        <w:tc>
          <w:tcPr>
            <w:tcW w:w="4536" w:type="dxa"/>
            <w:vAlign w:val="center"/>
          </w:tcPr>
          <w:p w14:paraId="3C9E853C" w14:textId="20264130" w:rsidR="00140F37" w:rsidRDefault="00140F37" w:rsidP="00B81ED3">
            <w:pPr>
              <w:jc w:val="center"/>
            </w:pPr>
            <w:r>
              <w:t>Тип термоиндикатора</w:t>
            </w:r>
          </w:p>
        </w:tc>
      </w:tr>
      <w:tr w:rsidR="00140F37" w:rsidRPr="00E24546" w14:paraId="1B5BD901" w14:textId="77777777" w:rsidTr="00CF24BF">
        <w:tc>
          <w:tcPr>
            <w:tcW w:w="4815" w:type="dxa"/>
            <w:vAlign w:val="center"/>
          </w:tcPr>
          <w:p w14:paraId="41EA9E43" w14:textId="3EFE230C" w:rsidR="00140F37" w:rsidRDefault="00ED54C6" w:rsidP="00B81ED3">
            <w:pPr>
              <w:jc w:val="center"/>
            </w:pPr>
            <w:r>
              <w:t xml:space="preserve">– </w:t>
            </w:r>
            <w:r w:rsidR="00140F37">
              <w:t>до 6 мм</w:t>
            </w:r>
            <w:r w:rsidR="00140F37">
              <w:rPr>
                <w:vertAlign w:val="superscript"/>
              </w:rPr>
              <w:t>2</w:t>
            </w:r>
            <w:r w:rsidR="00140F37">
              <w:t>/до 40</w:t>
            </w:r>
          </w:p>
          <w:p w14:paraId="38FD6D82" w14:textId="504EBC71" w:rsidR="00ED54C6" w:rsidRPr="00140F37" w:rsidRDefault="00ED54C6" w:rsidP="00B81ED3">
            <w:pPr>
              <w:jc w:val="center"/>
            </w:pPr>
            <w:r>
              <w:t>– также для болтовых соединений шин всех сечений</w:t>
            </w:r>
          </w:p>
        </w:tc>
        <w:tc>
          <w:tcPr>
            <w:tcW w:w="4536" w:type="dxa"/>
            <w:vAlign w:val="center"/>
          </w:tcPr>
          <w:p w14:paraId="3ACD4674" w14:textId="77777777" w:rsidR="00ED54C6" w:rsidRPr="000E016A" w:rsidRDefault="00140F37" w:rsidP="0014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 S</w:t>
            </w:r>
            <w:r w:rsidRPr="000E016A">
              <w:rPr>
                <w:lang w:val="en-US"/>
              </w:rPr>
              <w:t xml:space="preserve"> 90</w:t>
            </w:r>
            <w:r w:rsidR="00ED54C6" w:rsidRPr="000E016A">
              <w:rPr>
                <w:lang w:val="en-US"/>
              </w:rPr>
              <w:t xml:space="preserve"> </w:t>
            </w:r>
          </w:p>
          <w:p w14:paraId="2F37A491" w14:textId="716E9815" w:rsidR="00140F37" w:rsidRPr="000E016A" w:rsidRDefault="00ED54C6" w:rsidP="00140F37">
            <w:pPr>
              <w:jc w:val="center"/>
              <w:rPr>
                <w:lang w:val="en-US"/>
              </w:rPr>
            </w:pPr>
            <w:r>
              <w:t>или</w:t>
            </w:r>
          </w:p>
          <w:p w14:paraId="6D5EEE37" w14:textId="450FA132" w:rsidR="00140F37" w:rsidRPr="000E016A" w:rsidRDefault="00ED54C6" w:rsidP="00ED54C6">
            <w:pPr>
              <w:jc w:val="center"/>
              <w:rPr>
                <w:lang w:val="en-US"/>
              </w:rPr>
            </w:pPr>
            <w:r w:rsidRPr="000E016A">
              <w:rPr>
                <w:lang w:val="en-US"/>
              </w:rPr>
              <w:t>«</w:t>
            </w:r>
            <w:r w:rsidR="00140F37">
              <w:t>Волн</w:t>
            </w:r>
            <w:r>
              <w:t>ы</w:t>
            </w:r>
            <w:r w:rsidRPr="000E016A">
              <w:rPr>
                <w:lang w:val="en-US"/>
              </w:rPr>
              <w:t>»</w:t>
            </w:r>
            <w:r w:rsidR="00140F37" w:rsidRPr="000E016A">
              <w:rPr>
                <w:lang w:val="en-US"/>
              </w:rPr>
              <w:t xml:space="preserve"> </w:t>
            </w:r>
            <w:r w:rsidR="00140F37">
              <w:rPr>
                <w:lang w:val="en-US"/>
              </w:rPr>
              <w:t>S</w:t>
            </w:r>
            <w:r w:rsidR="00140F37" w:rsidRPr="000E016A">
              <w:rPr>
                <w:lang w:val="en-US"/>
              </w:rPr>
              <w:t xml:space="preserve"> 90</w:t>
            </w:r>
          </w:p>
        </w:tc>
      </w:tr>
      <w:tr w:rsidR="00140F37" w14:paraId="2FD0E86B" w14:textId="77777777" w:rsidTr="00CF24BF">
        <w:tc>
          <w:tcPr>
            <w:tcW w:w="4815" w:type="dxa"/>
            <w:vAlign w:val="center"/>
          </w:tcPr>
          <w:p w14:paraId="2DA0CA6A" w14:textId="57CEA29B" w:rsidR="00140F37" w:rsidRPr="00140F37" w:rsidRDefault="00ED54C6" w:rsidP="00ED54C6">
            <w:pPr>
              <w:jc w:val="center"/>
            </w:pPr>
            <w:r>
              <w:t xml:space="preserve">– </w:t>
            </w:r>
            <w:r w:rsidR="00140F37">
              <w:t>от 6 до 25 мм</w:t>
            </w:r>
            <w:proofErr w:type="gramStart"/>
            <w:r w:rsidR="00140F37">
              <w:rPr>
                <w:vertAlign w:val="superscript"/>
              </w:rPr>
              <w:t>2</w:t>
            </w:r>
            <w:proofErr w:type="gramEnd"/>
            <w:r w:rsidR="00140F37">
              <w:t>/до 100</w:t>
            </w:r>
          </w:p>
        </w:tc>
        <w:tc>
          <w:tcPr>
            <w:tcW w:w="4536" w:type="dxa"/>
            <w:vAlign w:val="center"/>
          </w:tcPr>
          <w:p w14:paraId="0C821030" w14:textId="3A3858E3" w:rsidR="00140F37" w:rsidRDefault="00140F37" w:rsidP="00B81ED3">
            <w:pPr>
              <w:jc w:val="center"/>
            </w:pPr>
            <w:r>
              <w:t>3Т 70-80-90</w:t>
            </w:r>
          </w:p>
        </w:tc>
      </w:tr>
      <w:tr w:rsidR="00140F37" w14:paraId="6F21317C" w14:textId="77777777" w:rsidTr="00CF24BF">
        <w:tc>
          <w:tcPr>
            <w:tcW w:w="4815" w:type="dxa"/>
            <w:vAlign w:val="center"/>
          </w:tcPr>
          <w:p w14:paraId="7C712503" w14:textId="2EA0FD9E" w:rsidR="00140F37" w:rsidRPr="00140F37" w:rsidRDefault="00ED54C6" w:rsidP="00ED54C6">
            <w:pPr>
              <w:jc w:val="center"/>
            </w:pPr>
            <w:r>
              <w:t xml:space="preserve">– </w:t>
            </w:r>
            <w:r w:rsidR="00140F37">
              <w:t>выше 25 мм</w:t>
            </w:r>
            <w:r w:rsidR="00140F37">
              <w:rPr>
                <w:vertAlign w:val="superscript"/>
              </w:rPr>
              <w:t>2</w:t>
            </w:r>
            <w:r w:rsidR="00140F37">
              <w:t>/более 100</w:t>
            </w:r>
          </w:p>
        </w:tc>
        <w:tc>
          <w:tcPr>
            <w:tcW w:w="4536" w:type="dxa"/>
            <w:vAlign w:val="center"/>
          </w:tcPr>
          <w:p w14:paraId="1BA5E39F" w14:textId="1E1CFBE5" w:rsidR="00140F37" w:rsidRDefault="00140F37" w:rsidP="00B81ED3">
            <w:pPr>
              <w:jc w:val="center"/>
            </w:pPr>
            <w:r>
              <w:t>4Т 60-70-80-90</w:t>
            </w:r>
          </w:p>
        </w:tc>
      </w:tr>
    </w:tbl>
    <w:p w14:paraId="6AD91E5F" w14:textId="77A00F44" w:rsidR="00140F37" w:rsidRDefault="00140F37" w:rsidP="00ED54C6"/>
    <w:p w14:paraId="5276AA33" w14:textId="0EA3FBFD" w:rsidR="00ED54C6" w:rsidRDefault="00ED54C6" w:rsidP="002E3D9F">
      <w:pPr>
        <w:jc w:val="both"/>
      </w:pPr>
      <w:r>
        <w:tab/>
      </w:r>
      <w:r w:rsidR="004C3445">
        <w:t>Цвет термоиндикатора должен</w:t>
      </w:r>
      <w:r w:rsidR="005704F3">
        <w:t xml:space="preserve"> </w:t>
      </w:r>
      <w:r w:rsidR="002E3D9F">
        <w:t>выбираться в соответствии с</w:t>
      </w:r>
      <w:r w:rsidR="005704F3">
        <w:t xml:space="preserve"> цветовой маркировк</w:t>
      </w:r>
      <w:r w:rsidR="002E3D9F">
        <w:t>ой</w:t>
      </w:r>
      <w:r w:rsidR="005704F3">
        <w:t xml:space="preserve"> фаз согласно ПУЭ.</w:t>
      </w:r>
      <w:r w:rsidR="002E3D9F">
        <w:t xml:space="preserve"> При невозможности определения фазы проводника рекомендуется применять термоиндикаторы жёлтого цвета. </w:t>
      </w:r>
    </w:p>
    <w:p w14:paraId="66EC12F0" w14:textId="77777777" w:rsidR="004C3445" w:rsidRDefault="004C3445" w:rsidP="00ED54C6"/>
    <w:p w14:paraId="3CEDAFF7" w14:textId="77777777" w:rsidR="002E3D9F" w:rsidRDefault="002E3D9F" w:rsidP="00140F37">
      <w:pPr>
        <w:jc w:val="center"/>
      </w:pPr>
    </w:p>
    <w:p w14:paraId="46049585" w14:textId="77777777" w:rsidR="002E3D9F" w:rsidRDefault="002E3D9F" w:rsidP="00140F37">
      <w:pPr>
        <w:jc w:val="center"/>
      </w:pPr>
    </w:p>
    <w:p w14:paraId="5A737322" w14:textId="77777777" w:rsidR="002E3D9F" w:rsidRDefault="002E3D9F" w:rsidP="00140F37">
      <w:pPr>
        <w:jc w:val="center"/>
      </w:pPr>
    </w:p>
    <w:p w14:paraId="299E0CA1" w14:textId="77777777" w:rsidR="002E3D9F" w:rsidRDefault="002E3D9F" w:rsidP="00140F37">
      <w:pPr>
        <w:jc w:val="center"/>
      </w:pPr>
    </w:p>
    <w:p w14:paraId="6D5FDC5C" w14:textId="1A14C389" w:rsidR="00140F37" w:rsidRPr="00CF24BF" w:rsidRDefault="00F5388D" w:rsidP="00140F37">
      <w:pPr>
        <w:jc w:val="center"/>
        <w:rPr>
          <w:b/>
        </w:rPr>
      </w:pPr>
      <w:r w:rsidRPr="00CF24BF">
        <w:rPr>
          <w:b/>
        </w:rPr>
        <w:lastRenderedPageBreak/>
        <w:t>Выбор компонентов г</w:t>
      </w:r>
      <w:r w:rsidR="00140F37" w:rsidRPr="00CF24BF">
        <w:rPr>
          <w:b/>
        </w:rPr>
        <w:t>азоаналитическ</w:t>
      </w:r>
      <w:r w:rsidRPr="00CF24BF">
        <w:rPr>
          <w:b/>
        </w:rPr>
        <w:t>ой</w:t>
      </w:r>
      <w:r w:rsidR="00140F37" w:rsidRPr="00CF24BF">
        <w:rPr>
          <w:b/>
        </w:rPr>
        <w:t xml:space="preserve"> систем</w:t>
      </w:r>
      <w:r w:rsidRPr="00CF24BF">
        <w:rPr>
          <w:b/>
        </w:rPr>
        <w:t>ы</w:t>
      </w:r>
      <w:r w:rsidR="00140F37" w:rsidRPr="00CF24BF">
        <w:rPr>
          <w:b/>
        </w:rPr>
        <w:t xml:space="preserve"> ТермоСенсор</w:t>
      </w:r>
    </w:p>
    <w:p w14:paraId="1718D156" w14:textId="56BB9662" w:rsidR="003F086E" w:rsidRDefault="00140F37" w:rsidP="00140F37">
      <w:pPr>
        <w:jc w:val="center"/>
      </w:pPr>
      <w:r>
        <w:t xml:space="preserve">(автоматическое обнаружение </w:t>
      </w:r>
      <w:r w:rsidR="00CF24BF">
        <w:t>сверхнормативных перегревов</w:t>
      </w:r>
      <w:r>
        <w:t>)</w:t>
      </w:r>
    </w:p>
    <w:p w14:paraId="0615C46E" w14:textId="690CBFCD" w:rsidR="00140F37" w:rsidRDefault="00140F37" w:rsidP="00140F37"/>
    <w:p w14:paraId="292706C6" w14:textId="47A92841" w:rsidR="00954647" w:rsidRDefault="00954647" w:rsidP="00140F37">
      <w:r>
        <w:tab/>
        <w:t>Система «Термосенсор» состоит из следующих компонентов:</w:t>
      </w:r>
    </w:p>
    <w:p w14:paraId="5547D858" w14:textId="60996BB3" w:rsidR="00954647" w:rsidRDefault="00954647" w:rsidP="00954647">
      <w:r>
        <w:t>– термоактивируемые газовыделяющие наклейки;</w:t>
      </w:r>
    </w:p>
    <w:p w14:paraId="78C59FB8" w14:textId="53719E67" w:rsidR="00954647" w:rsidRDefault="00954647" w:rsidP="00954647">
      <w:r>
        <w:t>– специализированные газовые датчики;</w:t>
      </w:r>
    </w:p>
    <w:p w14:paraId="48D6A777" w14:textId="10651FC4" w:rsidR="00954647" w:rsidRDefault="00954647" w:rsidP="00954647">
      <w:r>
        <w:t>– контрольно-приемное устройство;</w:t>
      </w:r>
    </w:p>
    <w:p w14:paraId="12806558" w14:textId="7FF54629" w:rsidR="00954647" w:rsidRDefault="009A445B" w:rsidP="00954647">
      <w:r>
        <w:t>– блок питания;</w:t>
      </w:r>
    </w:p>
    <w:p w14:paraId="7F91A081" w14:textId="3E38B1CD" w:rsidR="009A445B" w:rsidRDefault="009A445B" w:rsidP="00954647">
      <w:r>
        <w:t>– кабель связи.</w:t>
      </w:r>
    </w:p>
    <w:p w14:paraId="276DEB0A" w14:textId="60C2C1C0" w:rsidR="00954647" w:rsidRDefault="00954647" w:rsidP="00140F37">
      <w:r>
        <w:tab/>
      </w:r>
    </w:p>
    <w:p w14:paraId="37C97877" w14:textId="6AD24A7E" w:rsidR="009A445B" w:rsidRDefault="009A445B" w:rsidP="009A445B">
      <w:pPr>
        <w:ind w:firstLine="708"/>
        <w:jc w:val="both"/>
      </w:pPr>
      <w:r>
        <w:t>Выбор термоактивируемых газовыделяющих наклеек для системы автоматического контроля производится по табл. 2.</w:t>
      </w:r>
    </w:p>
    <w:p w14:paraId="49CDC58E" w14:textId="77777777" w:rsidR="00954647" w:rsidRDefault="00954647" w:rsidP="00140F37"/>
    <w:p w14:paraId="39D7DAC7" w14:textId="3F031C40" w:rsidR="00351B18" w:rsidRDefault="00435FCE" w:rsidP="00435FCE">
      <w:r>
        <w:t xml:space="preserve">Таблица 2 – </w:t>
      </w:r>
      <w:r w:rsidR="003F086E">
        <w:t>Выбор термоактивируемых газовыделяющих наклеек</w:t>
      </w:r>
    </w:p>
    <w:p w14:paraId="70E50043" w14:textId="2C0A80CB" w:rsidR="00351B18" w:rsidRDefault="00351B18" w:rsidP="00351B18"/>
    <w:tbl>
      <w:tblPr>
        <w:tblStyle w:val="a4"/>
        <w:tblW w:w="8788" w:type="dxa"/>
        <w:tblInd w:w="421" w:type="dxa"/>
        <w:tblLook w:val="04A0" w:firstRow="1" w:lastRow="0" w:firstColumn="1" w:lastColumn="0" w:noHBand="0" w:noVBand="1"/>
      </w:tblPr>
      <w:tblGrid>
        <w:gridCol w:w="4110"/>
        <w:gridCol w:w="4678"/>
      </w:tblGrid>
      <w:tr w:rsidR="00F16C30" w14:paraId="57C2C2A6" w14:textId="04519BCD" w:rsidTr="00387F85">
        <w:tc>
          <w:tcPr>
            <w:tcW w:w="4110" w:type="dxa"/>
            <w:vAlign w:val="center"/>
          </w:tcPr>
          <w:p w14:paraId="307B9D1E" w14:textId="77777777" w:rsidR="00F16C30" w:rsidRDefault="00F16C30" w:rsidP="00E35BF7">
            <w:pPr>
              <w:jc w:val="center"/>
            </w:pPr>
            <w:r>
              <w:t>Сечение проводника, мм</w:t>
            </w:r>
            <w:r>
              <w:rPr>
                <w:vertAlign w:val="superscript"/>
              </w:rPr>
              <w:t>2</w:t>
            </w:r>
            <w:r>
              <w:t>/</w:t>
            </w:r>
          </w:p>
          <w:p w14:paraId="148CDD9C" w14:textId="2586B39D" w:rsidR="00F16C30" w:rsidRDefault="00F16C30" w:rsidP="00E35BF7">
            <w:pPr>
              <w:jc w:val="center"/>
            </w:pPr>
            <w:r>
              <w:t>размеры</w:t>
            </w:r>
            <w:r w:rsidR="009953AB">
              <w:t xml:space="preserve"> шин</w:t>
            </w:r>
            <w:r>
              <w:t>, мм</w:t>
            </w:r>
          </w:p>
        </w:tc>
        <w:tc>
          <w:tcPr>
            <w:tcW w:w="4678" w:type="dxa"/>
            <w:vAlign w:val="center"/>
          </w:tcPr>
          <w:p w14:paraId="7B1E62D7" w14:textId="4B025A5A" w:rsidR="00F16C30" w:rsidRDefault="00F16C30" w:rsidP="003F086E">
            <w:pPr>
              <w:jc w:val="center"/>
            </w:pPr>
            <w:r>
              <w:t>Типоразмер ТГН</w:t>
            </w:r>
          </w:p>
        </w:tc>
      </w:tr>
      <w:tr w:rsidR="00F16C30" w14:paraId="6D2868E4" w14:textId="27034C5A" w:rsidTr="00F16C30">
        <w:tc>
          <w:tcPr>
            <w:tcW w:w="8788" w:type="dxa"/>
            <w:gridSpan w:val="2"/>
            <w:vAlign w:val="center"/>
          </w:tcPr>
          <w:p w14:paraId="2CB2AA19" w14:textId="2F9B5839" w:rsidR="00F16C30" w:rsidRDefault="00F16C30" w:rsidP="00387F85">
            <w:pPr>
              <w:jc w:val="center"/>
            </w:pPr>
            <w:r>
              <w:t>Для кабел</w:t>
            </w:r>
            <w:r w:rsidR="00387F85">
              <w:t>ей</w:t>
            </w:r>
          </w:p>
        </w:tc>
      </w:tr>
      <w:tr w:rsidR="002E3D9F" w:rsidRPr="00E24546" w14:paraId="4F891335" w14:textId="77777777" w:rsidTr="00387F85">
        <w:tc>
          <w:tcPr>
            <w:tcW w:w="4110" w:type="dxa"/>
            <w:vAlign w:val="center"/>
          </w:tcPr>
          <w:p w14:paraId="4ABCB4D0" w14:textId="0475F70C" w:rsidR="002E3D9F" w:rsidRDefault="002E3D9F" w:rsidP="002E3D9F">
            <w:pPr>
              <w:jc w:val="center"/>
            </w:pPr>
            <w:r>
              <w:t>4 и менее</w:t>
            </w:r>
          </w:p>
        </w:tc>
        <w:tc>
          <w:tcPr>
            <w:tcW w:w="4678" w:type="dxa"/>
            <w:vAlign w:val="center"/>
          </w:tcPr>
          <w:p w14:paraId="4DCEE2F1" w14:textId="3676915C" w:rsidR="002E3D9F" w:rsidRPr="000E016A" w:rsidRDefault="002E3D9F" w:rsidP="002E3D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 S</w:t>
            </w:r>
            <w:r w:rsidRPr="000E016A">
              <w:rPr>
                <w:lang w:val="en-US"/>
              </w:rPr>
              <w:t xml:space="preserve"> 90</w:t>
            </w:r>
          </w:p>
          <w:p w14:paraId="247389CE" w14:textId="77777777" w:rsidR="002E3D9F" w:rsidRPr="000E016A" w:rsidRDefault="002E3D9F" w:rsidP="002E3D9F">
            <w:pPr>
              <w:jc w:val="center"/>
              <w:rPr>
                <w:lang w:val="en-US"/>
              </w:rPr>
            </w:pPr>
            <w:r>
              <w:t>или</w:t>
            </w:r>
            <w:r w:rsidRPr="000E016A">
              <w:rPr>
                <w:lang w:val="en-US"/>
              </w:rPr>
              <w:t xml:space="preserve"> </w:t>
            </w:r>
          </w:p>
          <w:p w14:paraId="44717457" w14:textId="0F32A1BD" w:rsidR="002E3D9F" w:rsidRDefault="002E3D9F" w:rsidP="002E3D9F">
            <w:pPr>
              <w:jc w:val="center"/>
              <w:rPr>
                <w:lang w:val="en-US"/>
              </w:rPr>
            </w:pPr>
            <w:r>
              <w:t>Волна</w:t>
            </w:r>
            <w:r w:rsidRPr="000E016A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0E016A">
              <w:rPr>
                <w:lang w:val="en-US"/>
              </w:rPr>
              <w:t xml:space="preserve"> 90</w:t>
            </w:r>
          </w:p>
        </w:tc>
      </w:tr>
      <w:tr w:rsidR="002E3D9F" w14:paraId="77A5688B" w14:textId="5D34529A" w:rsidTr="00387F85">
        <w:tc>
          <w:tcPr>
            <w:tcW w:w="4110" w:type="dxa"/>
            <w:vAlign w:val="center"/>
          </w:tcPr>
          <w:p w14:paraId="65B22D8C" w14:textId="4B5664FF" w:rsidR="002E3D9F" w:rsidRDefault="002E3D9F" w:rsidP="002E3D9F">
            <w:pPr>
              <w:jc w:val="center"/>
            </w:pPr>
            <w:r>
              <w:t>6</w:t>
            </w:r>
            <w:r w:rsidR="00435FCE">
              <w:t>-16</w:t>
            </w:r>
          </w:p>
        </w:tc>
        <w:tc>
          <w:tcPr>
            <w:tcW w:w="4678" w:type="dxa"/>
            <w:vAlign w:val="center"/>
          </w:tcPr>
          <w:p w14:paraId="7F8A4C7E" w14:textId="6796B3AF" w:rsidR="002E3D9F" w:rsidRDefault="002E3D9F" w:rsidP="002E3D9F">
            <w:pPr>
              <w:jc w:val="center"/>
            </w:pPr>
            <w:r>
              <w:t xml:space="preserve">ТГН-100 (длина 50 мм), 100 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</w:tr>
      <w:tr w:rsidR="002E3D9F" w14:paraId="42E9B141" w14:textId="4C9C424F" w:rsidTr="00387F85">
        <w:tc>
          <w:tcPr>
            <w:tcW w:w="4110" w:type="dxa"/>
            <w:vAlign w:val="center"/>
          </w:tcPr>
          <w:p w14:paraId="1FA8968E" w14:textId="11DF4E0F" w:rsidR="002E3D9F" w:rsidRDefault="00435FCE" w:rsidP="00435FCE">
            <w:pPr>
              <w:jc w:val="center"/>
            </w:pPr>
            <w:r>
              <w:t>25-50</w:t>
            </w:r>
          </w:p>
        </w:tc>
        <w:tc>
          <w:tcPr>
            <w:tcW w:w="4678" w:type="dxa"/>
            <w:vAlign w:val="center"/>
          </w:tcPr>
          <w:p w14:paraId="21A49B62" w14:textId="4CE9336F" w:rsidR="002E3D9F" w:rsidRDefault="002E3D9F" w:rsidP="002E3D9F">
            <w:pPr>
              <w:jc w:val="center"/>
            </w:pPr>
            <w:r>
              <w:t xml:space="preserve">ТГН-300 (длина 80 мм), 100 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</w:tr>
      <w:tr w:rsidR="002E3D9F" w14:paraId="4A11E3C3" w14:textId="5C6A1B69" w:rsidTr="00387F85">
        <w:tc>
          <w:tcPr>
            <w:tcW w:w="4110" w:type="dxa"/>
            <w:vAlign w:val="center"/>
          </w:tcPr>
          <w:p w14:paraId="1A41DC5D" w14:textId="523F1449" w:rsidR="002E3D9F" w:rsidRDefault="00435FCE" w:rsidP="002E3D9F">
            <w:pPr>
              <w:jc w:val="center"/>
            </w:pPr>
            <w:r>
              <w:t>75-95</w:t>
            </w:r>
          </w:p>
        </w:tc>
        <w:tc>
          <w:tcPr>
            <w:tcW w:w="4678" w:type="dxa"/>
            <w:vAlign w:val="center"/>
          </w:tcPr>
          <w:p w14:paraId="6BAF95C7" w14:textId="49C37E44" w:rsidR="002E3D9F" w:rsidRDefault="002E3D9F" w:rsidP="002E3D9F">
            <w:pPr>
              <w:jc w:val="center"/>
            </w:pPr>
            <w:r>
              <w:t xml:space="preserve">ТГН-1000 (длина 138 мм) , 100 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</w:tr>
      <w:tr w:rsidR="002E3D9F" w14:paraId="2E1BD464" w14:textId="3E6C5826" w:rsidTr="00387F85">
        <w:tc>
          <w:tcPr>
            <w:tcW w:w="4110" w:type="dxa"/>
            <w:vAlign w:val="center"/>
          </w:tcPr>
          <w:p w14:paraId="2B5B7C0B" w14:textId="15CB7DC2" w:rsidR="002E3D9F" w:rsidRDefault="00435FCE" w:rsidP="002E3D9F">
            <w:pPr>
              <w:jc w:val="center"/>
            </w:pPr>
            <w:r>
              <w:t>120 и более</w:t>
            </w:r>
          </w:p>
        </w:tc>
        <w:tc>
          <w:tcPr>
            <w:tcW w:w="4678" w:type="dxa"/>
            <w:vAlign w:val="center"/>
          </w:tcPr>
          <w:p w14:paraId="6FB2816B" w14:textId="1FD0870A" w:rsidR="002E3D9F" w:rsidRPr="00E35BF7" w:rsidRDefault="002E3D9F" w:rsidP="002E3D9F">
            <w:pPr>
              <w:jc w:val="center"/>
            </w:pPr>
            <w:r>
              <w:t>ТГН-</w:t>
            </w:r>
            <w:r>
              <w:rPr>
                <w:lang w:val="en-US"/>
              </w:rPr>
              <w:t>XL</w:t>
            </w:r>
            <w:r>
              <w:t xml:space="preserve"> (длина 210 мм) , 100 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</w:tr>
      <w:tr w:rsidR="002E3D9F" w14:paraId="1C1BE61A" w14:textId="7CC83A54" w:rsidTr="00F16C30">
        <w:tc>
          <w:tcPr>
            <w:tcW w:w="8788" w:type="dxa"/>
            <w:gridSpan w:val="2"/>
            <w:vAlign w:val="center"/>
          </w:tcPr>
          <w:p w14:paraId="3F117756" w14:textId="55F125A6" w:rsidR="002E3D9F" w:rsidRDefault="002E3D9F" w:rsidP="002E3D9F">
            <w:pPr>
              <w:jc w:val="center"/>
            </w:pPr>
            <w:r>
              <w:t>Для шин</w:t>
            </w:r>
          </w:p>
        </w:tc>
      </w:tr>
      <w:tr w:rsidR="002E3D9F" w14:paraId="0D7BA725" w14:textId="77777777" w:rsidTr="00387F85">
        <w:tc>
          <w:tcPr>
            <w:tcW w:w="4110" w:type="dxa"/>
            <w:vAlign w:val="center"/>
          </w:tcPr>
          <w:p w14:paraId="5C492F4F" w14:textId="306BABE4" w:rsidR="002E3D9F" w:rsidRDefault="002E3D9F" w:rsidP="002E3D9F">
            <w:pPr>
              <w:jc w:val="center"/>
            </w:pPr>
            <w:r>
              <w:t>не более 30х4</w:t>
            </w:r>
          </w:p>
        </w:tc>
        <w:tc>
          <w:tcPr>
            <w:tcW w:w="4678" w:type="dxa"/>
            <w:vAlign w:val="center"/>
          </w:tcPr>
          <w:p w14:paraId="7EA8E3E7" w14:textId="349D6DE9" w:rsidR="002E3D9F" w:rsidRDefault="002E3D9F" w:rsidP="002E3D9F">
            <w:pPr>
              <w:jc w:val="center"/>
            </w:pPr>
            <w:r>
              <w:t xml:space="preserve">ТГН-300 (длина 80 мм) , 100 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</w:tr>
      <w:tr w:rsidR="002E3D9F" w14:paraId="347CD934" w14:textId="77777777" w:rsidTr="00387F85">
        <w:tc>
          <w:tcPr>
            <w:tcW w:w="4110" w:type="dxa"/>
            <w:vAlign w:val="center"/>
          </w:tcPr>
          <w:p w14:paraId="112195E6" w14:textId="0A8C6C7B" w:rsidR="002E3D9F" w:rsidRDefault="002E3D9F" w:rsidP="002E3D9F">
            <w:pPr>
              <w:jc w:val="center"/>
            </w:pPr>
            <w:r>
              <w:t>не более 40х5</w:t>
            </w:r>
          </w:p>
        </w:tc>
        <w:tc>
          <w:tcPr>
            <w:tcW w:w="4678" w:type="dxa"/>
            <w:vAlign w:val="center"/>
          </w:tcPr>
          <w:p w14:paraId="50804942" w14:textId="6D68FDF1" w:rsidR="002E3D9F" w:rsidRDefault="002E3D9F" w:rsidP="002E3D9F">
            <w:pPr>
              <w:jc w:val="center"/>
            </w:pPr>
            <w:r>
              <w:t xml:space="preserve">ТГН-1000 (длина 138 мм) , 100 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</w:tr>
      <w:tr w:rsidR="002E3D9F" w14:paraId="4EC44727" w14:textId="77777777" w:rsidTr="00387F85">
        <w:tc>
          <w:tcPr>
            <w:tcW w:w="4110" w:type="dxa"/>
            <w:vAlign w:val="center"/>
          </w:tcPr>
          <w:p w14:paraId="05DB72B0" w14:textId="383413F5" w:rsidR="002E3D9F" w:rsidRDefault="002E3D9F" w:rsidP="002E3D9F">
            <w:pPr>
              <w:jc w:val="center"/>
            </w:pPr>
            <w:r>
              <w:t>не более 80х10</w:t>
            </w:r>
          </w:p>
        </w:tc>
        <w:tc>
          <w:tcPr>
            <w:tcW w:w="4678" w:type="dxa"/>
            <w:vAlign w:val="center"/>
          </w:tcPr>
          <w:p w14:paraId="4ECB6CEE" w14:textId="726778CA" w:rsidR="002E3D9F" w:rsidRDefault="002E3D9F" w:rsidP="002E3D9F">
            <w:pPr>
              <w:jc w:val="center"/>
            </w:pPr>
            <w:r>
              <w:t>ТГН-</w:t>
            </w:r>
            <w:r>
              <w:rPr>
                <w:lang w:val="en-US"/>
              </w:rPr>
              <w:t>XL</w:t>
            </w:r>
            <w:r>
              <w:t xml:space="preserve"> (длина 210 мм) , 100 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</w:tr>
    </w:tbl>
    <w:p w14:paraId="2C7F4B84" w14:textId="77777777" w:rsidR="00435FCE" w:rsidRDefault="00435FCE" w:rsidP="00351B18"/>
    <w:p w14:paraId="29FBC67C" w14:textId="7585032B" w:rsidR="003F086E" w:rsidRDefault="00435FCE" w:rsidP="00435FCE">
      <w:pPr>
        <w:ind w:firstLine="708"/>
        <w:jc w:val="both"/>
      </w:pPr>
      <w:r>
        <w:t>Цвет термоиндикаторов и ТГН должен выбираться в соответствии с цветовой маркировкой фаз согласно ПУЭ. При невозможности определения фазы проводника рекомендуется применять термоиндикаторы жёлтого цвета.</w:t>
      </w:r>
    </w:p>
    <w:p w14:paraId="53BFF983" w14:textId="77777777" w:rsidR="00435FCE" w:rsidRDefault="00435FCE" w:rsidP="00351B18"/>
    <w:p w14:paraId="5A13FE23" w14:textId="72384DA3" w:rsidR="00351B18" w:rsidRDefault="00190180" w:rsidP="009252CE">
      <w:pPr>
        <w:jc w:val="center"/>
      </w:pPr>
      <w:r>
        <w:t xml:space="preserve">Выбор </w:t>
      </w:r>
      <w:r w:rsidR="009252CE">
        <w:t xml:space="preserve">специализированных газовых </w:t>
      </w:r>
      <w:r>
        <w:t>датчиков</w:t>
      </w:r>
    </w:p>
    <w:p w14:paraId="5EDFE64E" w14:textId="7DAB75A7" w:rsidR="009A445B" w:rsidRDefault="009A445B" w:rsidP="009A445B"/>
    <w:p w14:paraId="35CD7DAE" w14:textId="6E3F7475" w:rsidR="009A445B" w:rsidRDefault="009A445B" w:rsidP="009A445B">
      <w:pPr>
        <w:jc w:val="both"/>
      </w:pPr>
      <w:r>
        <w:tab/>
        <w:t xml:space="preserve">Для отдельно стоящих распределительных и групповых щитков </w:t>
      </w:r>
      <w:r w:rsidR="004C50A5">
        <w:t xml:space="preserve">применяется </w:t>
      </w:r>
      <w:r>
        <w:t>датчик СГД-1.</w:t>
      </w:r>
    </w:p>
    <w:p w14:paraId="15BCC4FE" w14:textId="6C780DB2" w:rsidR="00DF02E7" w:rsidRDefault="009A445B" w:rsidP="009A445B">
      <w:pPr>
        <w:jc w:val="both"/>
      </w:pPr>
      <w:r>
        <w:tab/>
        <w:t>Для вводных и распределительных шкафов</w:t>
      </w:r>
      <w:r w:rsidR="0040323F">
        <w:t xml:space="preserve"> с секционированием внутреннего пространства </w:t>
      </w:r>
      <w:r w:rsidR="00987187">
        <w:t>предусматривается применение датчика СГД-3 с установкой выносных газовых сенсоров в каждом контролируемом отсеке.</w:t>
      </w:r>
      <w:r w:rsidR="00DF02E7">
        <w:t xml:space="preserve"> Один СГД-3 рассчитан на контроль трёх отсеков. Количество </w:t>
      </w:r>
      <w:r w:rsidR="004C50A5">
        <w:t xml:space="preserve">СГД-3 принимается по количеству контролируемых отсеков делённому на 3 с округлением в </w:t>
      </w:r>
      <w:proofErr w:type="spellStart"/>
      <w:r w:rsidR="004C50A5">
        <w:t>бóльшую</w:t>
      </w:r>
      <w:proofErr w:type="spellEnd"/>
      <w:r w:rsidR="004C50A5">
        <w:t xml:space="preserve"> сторону. (Напр. 5 отсеков: 5/3 = 1,66 ≈ 2).</w:t>
      </w:r>
    </w:p>
    <w:p w14:paraId="5FC9E305" w14:textId="41BEAD1F" w:rsidR="009A445B" w:rsidRDefault="00DF02E7" w:rsidP="004C50A5">
      <w:pPr>
        <w:ind w:firstLine="708"/>
        <w:jc w:val="both"/>
      </w:pPr>
      <w:r w:rsidRPr="00DF02E7">
        <w:lastRenderedPageBreak/>
        <w:t>Допускается установка выносных сенсоров одного датчика СГД-3 в отсеках рядом стоящих щитов, находящихся в одном помещении. При условии, что длина линии связи между датчи</w:t>
      </w:r>
      <w:r w:rsidR="00CF24BF">
        <w:t>ком и ВГС датчика не превышает 15</w:t>
      </w:r>
      <w:r w:rsidRPr="00DF02E7">
        <w:t xml:space="preserve"> м.</w:t>
      </w:r>
    </w:p>
    <w:p w14:paraId="7635B0DE" w14:textId="3ED08958" w:rsidR="009A445B" w:rsidRDefault="009A445B" w:rsidP="009A445B">
      <w:pPr>
        <w:jc w:val="both"/>
      </w:pPr>
      <w:r>
        <w:tab/>
        <w:t xml:space="preserve">В случае </w:t>
      </w:r>
      <w:r w:rsidR="009B1BAF">
        <w:t xml:space="preserve">нахождения </w:t>
      </w:r>
      <w:r>
        <w:t xml:space="preserve">как групповых отдельно стоящих щитков, так и секционированных вводных или распределительных </w:t>
      </w:r>
      <w:r w:rsidR="009F5325">
        <w:t>в</w:t>
      </w:r>
      <w:r w:rsidR="00CE53DB">
        <w:t xml:space="preserve"> помещениях, имеющих влияние постороннего газового фона (проведение работ с лакокрасочными материалами, растворителями,</w:t>
      </w:r>
      <w:r w:rsidR="009B1BAF">
        <w:t xml:space="preserve"> спиртами и антисептиками, сварочных) обязательн</w:t>
      </w:r>
      <w:r w:rsidR="004C50A5">
        <w:t xml:space="preserve">о применение </w:t>
      </w:r>
      <w:r w:rsidR="009B1BAF">
        <w:t>датчика СГД-3</w:t>
      </w:r>
      <w:r w:rsidR="004C50A5">
        <w:t xml:space="preserve"> с внешним газовым сенсором</w:t>
      </w:r>
      <w:r w:rsidR="000E016A">
        <w:t>.</w:t>
      </w:r>
    </w:p>
    <w:p w14:paraId="07163DB5" w14:textId="77777777" w:rsidR="009A445B" w:rsidRDefault="009A445B" w:rsidP="009252CE">
      <w:pPr>
        <w:jc w:val="center"/>
      </w:pPr>
    </w:p>
    <w:p w14:paraId="08BA52FA" w14:textId="2CC8CBF6" w:rsidR="00954647" w:rsidRPr="00CF24BF" w:rsidRDefault="004052E2" w:rsidP="004052E2">
      <w:pPr>
        <w:jc w:val="center"/>
        <w:rPr>
          <w:b/>
        </w:rPr>
      </w:pPr>
      <w:r w:rsidRPr="00CF24BF">
        <w:rPr>
          <w:b/>
        </w:rPr>
        <w:t>КПУ</w:t>
      </w:r>
    </w:p>
    <w:p w14:paraId="12083CD5" w14:textId="220B201C" w:rsidR="00954647" w:rsidRDefault="00954647" w:rsidP="00954647">
      <w:pPr>
        <w:ind w:firstLine="709"/>
        <w:jc w:val="both"/>
      </w:pPr>
      <w:r>
        <w:t>К одному устройству КПУ подключается максимальное количество датчиков СГД на линии связи</w:t>
      </w:r>
      <w:r w:rsidR="00AF3DD6">
        <w:t xml:space="preserve"> </w:t>
      </w:r>
      <w:r w:rsidR="002242CB">
        <w:t xml:space="preserve">– </w:t>
      </w:r>
      <w:r>
        <w:t xml:space="preserve">32 шт., при длине линии не более 700 м. С использованием повторителя сигнала интерфейса </w:t>
      </w:r>
      <w:r>
        <w:rPr>
          <w:lang w:val="en-US"/>
        </w:rPr>
        <w:t>RS</w:t>
      </w:r>
      <w:r w:rsidRPr="00954647">
        <w:t>-</w:t>
      </w:r>
      <w:r>
        <w:t xml:space="preserve">485 максимальное количество СГД на линии связи </w:t>
      </w:r>
      <w:r w:rsidR="002242CB">
        <w:t>–</w:t>
      </w:r>
      <w:r>
        <w:t xml:space="preserve"> 64 шт., при длине линии не более 1200 м.</w:t>
      </w:r>
    </w:p>
    <w:p w14:paraId="5E894161" w14:textId="3D5E631A" w:rsidR="00847AD0" w:rsidRDefault="00954647" w:rsidP="00954647">
      <w:pPr>
        <w:ind w:firstLine="709"/>
        <w:jc w:val="both"/>
      </w:pPr>
      <w:r>
        <w:t>При количестве датчиков СГД превышающим 64 шт. необходима установка второго КПУ</w:t>
      </w:r>
    </w:p>
    <w:p w14:paraId="7B7ACD1E" w14:textId="77777777" w:rsidR="004C50A5" w:rsidRDefault="004C50A5" w:rsidP="009A445B">
      <w:pPr>
        <w:jc w:val="center"/>
      </w:pPr>
    </w:p>
    <w:p w14:paraId="2373FF69" w14:textId="1C8A2A05" w:rsidR="00564328" w:rsidRPr="00CF24BF" w:rsidRDefault="00052624" w:rsidP="009A445B">
      <w:pPr>
        <w:jc w:val="center"/>
        <w:rPr>
          <w:b/>
        </w:rPr>
      </w:pPr>
      <w:r w:rsidRPr="00CF24BF">
        <w:rPr>
          <w:b/>
        </w:rPr>
        <w:t>Блок питания</w:t>
      </w:r>
    </w:p>
    <w:p w14:paraId="04862636" w14:textId="5A440B5F" w:rsidR="00F16C30" w:rsidRDefault="00F16C30" w:rsidP="009A445B">
      <w:pPr>
        <w:ind w:firstLine="708"/>
        <w:jc w:val="both"/>
      </w:pPr>
      <w:r>
        <w:t>Питание датчиков СГД-1 и СГД-3 осуществляется от источника постоянного напряжения 24 В.</w:t>
      </w:r>
      <w:r w:rsidR="00954647" w:rsidRPr="00954647">
        <w:t xml:space="preserve"> </w:t>
      </w:r>
      <w:r w:rsidR="00954647">
        <w:t xml:space="preserve">Мощность блока питания </w:t>
      </w:r>
      <w:r w:rsidR="00954647" w:rsidRPr="00954647">
        <w:t xml:space="preserve">подбирается исходя из потребления </w:t>
      </w:r>
      <w:r w:rsidR="00954647">
        <w:t>СГД-1 (2 Вт) и СГД-3 (8,5 Вт)</w:t>
      </w:r>
      <w:r w:rsidR="006F4095">
        <w:t xml:space="preserve">. </w:t>
      </w:r>
      <w:r w:rsidR="00F34F49">
        <w:t>Суммарная мощность датчиков СГД, питающихся от одно</w:t>
      </w:r>
      <w:r w:rsidR="006F4095">
        <w:t>го блока питания не должна</w:t>
      </w:r>
      <w:r w:rsidR="00F34F49">
        <w:t xml:space="preserve"> превышать 70% от номинал</w:t>
      </w:r>
      <w:r w:rsidR="006F4095">
        <w:t>ьной мощности</w:t>
      </w:r>
      <w:r w:rsidR="00F34F49">
        <w:t xml:space="preserve"> блока питания. </w:t>
      </w:r>
    </w:p>
    <w:p w14:paraId="37AC8B28" w14:textId="350EDED5" w:rsidR="00D377F5" w:rsidRDefault="00D377F5" w:rsidP="009A445B">
      <w:pPr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суммарное потребление датчиков СГД превышает </w:t>
      </w:r>
      <w:r w:rsidR="006F4095">
        <w:t xml:space="preserve">70% номинальной </w:t>
      </w:r>
      <w:r>
        <w:t>мощност</w:t>
      </w:r>
      <w:r w:rsidR="006F4095">
        <w:t>и</w:t>
      </w:r>
      <w:r>
        <w:t xml:space="preserve"> одного блока питания, линия питания делится на участки, каждый из которых </w:t>
      </w:r>
      <w:r w:rsidR="00FC5285">
        <w:t>за</w:t>
      </w:r>
      <w:r>
        <w:t>пит</w:t>
      </w:r>
      <w:r w:rsidR="00FC5285">
        <w:t>ывается</w:t>
      </w:r>
      <w:r>
        <w:t xml:space="preserve"> от отдельного блока питания.</w:t>
      </w:r>
      <w:r w:rsidR="006F4095">
        <w:t xml:space="preserve"> </w:t>
      </w:r>
    </w:p>
    <w:p w14:paraId="2A846B23" w14:textId="55C4A822" w:rsidR="006F4095" w:rsidRDefault="006F4095" w:rsidP="009A445B">
      <w:pPr>
        <w:ind w:firstLine="708"/>
        <w:jc w:val="both"/>
      </w:pPr>
      <w:r>
        <w:t>Все блоки питания должны быть объединены по</w:t>
      </w:r>
      <w:r w:rsidR="004D371E">
        <w:t xml:space="preserve"> отрицательному</w:t>
      </w:r>
      <w:r>
        <w:t xml:space="preserve"> проводу</w:t>
      </w:r>
      <w:r w:rsidR="004D371E">
        <w:t xml:space="preserve"> </w:t>
      </w:r>
      <w:r>
        <w:t xml:space="preserve">(схемной земле). Не допускается объединять блоки питания по </w:t>
      </w:r>
      <w:r w:rsidR="004D371E">
        <w:t>положительному проводу</w:t>
      </w:r>
      <w:r>
        <w:t>.</w:t>
      </w:r>
    </w:p>
    <w:p w14:paraId="1CF7C19E" w14:textId="77777777" w:rsidR="00D377F5" w:rsidRDefault="00D377F5" w:rsidP="009A445B">
      <w:pPr>
        <w:ind w:firstLine="708"/>
        <w:jc w:val="both"/>
      </w:pPr>
    </w:p>
    <w:p w14:paraId="2B6C3AB6" w14:textId="4EB68456" w:rsidR="00D377F5" w:rsidRDefault="00291C5D" w:rsidP="00CF24BF">
      <w:pPr>
        <w:ind w:left="-851"/>
        <w:jc w:val="both"/>
      </w:pPr>
      <w:r>
        <w:rPr>
          <w:noProof/>
          <w:lang w:eastAsia="ru-RU"/>
        </w:rPr>
        <w:drawing>
          <wp:inline distT="0" distB="0" distL="0" distR="0" wp14:anchorId="63568B16" wp14:editId="1548E89B">
            <wp:extent cx="6611357" cy="2575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600" cy="257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AD2BC" w14:textId="2A86E62B" w:rsidR="00B230BA" w:rsidRPr="00CF24BF" w:rsidRDefault="00CF24BF" w:rsidP="00CF24BF">
      <w:pPr>
        <w:spacing w:after="120"/>
        <w:jc w:val="center"/>
        <w:rPr>
          <w:b/>
        </w:rPr>
      </w:pPr>
      <w:r>
        <w:rPr>
          <w:b/>
        </w:rPr>
        <w:lastRenderedPageBreak/>
        <w:t>Кабель связи</w:t>
      </w:r>
    </w:p>
    <w:p w14:paraId="4AD75F68" w14:textId="5466FB5A" w:rsidR="00847AD0" w:rsidRDefault="00F34F49" w:rsidP="00690C76">
      <w:pPr>
        <w:ind w:firstLine="709"/>
        <w:jc w:val="both"/>
      </w:pPr>
      <w:r>
        <w:t>Для линий</w:t>
      </w:r>
      <w:r w:rsidR="00847AD0">
        <w:t xml:space="preserve"> связи и питания датчиков СГД рекомендуется использовать </w:t>
      </w:r>
      <w:r>
        <w:t xml:space="preserve">специализированный 4-х жильный кабель для прокладки промышленного интерфейса </w:t>
      </w:r>
      <w:r>
        <w:rPr>
          <w:lang w:val="en-US"/>
        </w:rPr>
        <w:t>RS</w:t>
      </w:r>
      <w:r w:rsidRPr="00F34F49">
        <w:t xml:space="preserve">-485. </w:t>
      </w:r>
      <w:r>
        <w:t xml:space="preserve">В качестве альтернативы может быть использован </w:t>
      </w:r>
      <w:r w:rsidR="00847AD0">
        <w:t xml:space="preserve">кабель </w:t>
      </w:r>
      <w:r w:rsidR="00690C76" w:rsidRPr="00690C76">
        <w:t>типа «витая пара»</w:t>
      </w:r>
      <w:r>
        <w:t xml:space="preserve"> (например</w:t>
      </w:r>
      <w:r w:rsidR="00690C76" w:rsidRPr="00690C76">
        <w:t xml:space="preserve"> </w:t>
      </w:r>
      <w:proofErr w:type="spellStart"/>
      <w:r w:rsidR="00690C76" w:rsidRPr="00690C76">
        <w:t>ParLan</w:t>
      </w:r>
      <w:proofErr w:type="spellEnd"/>
      <w:r w:rsidR="00690C76" w:rsidRPr="00690C76">
        <w:t xml:space="preserve"> F/UTP Cat5e PVCLS </w:t>
      </w:r>
      <w:proofErr w:type="spellStart"/>
      <w:r w:rsidR="00690C76" w:rsidRPr="00690C76">
        <w:t>нг</w:t>
      </w:r>
      <w:proofErr w:type="spellEnd"/>
      <w:r w:rsidR="00690C76" w:rsidRPr="00690C76">
        <w:t>(A)-</w:t>
      </w:r>
      <w:proofErr w:type="spellStart"/>
      <w:r w:rsidR="00690C76" w:rsidRPr="00690C76">
        <w:t>LSLTx</w:t>
      </w:r>
      <w:proofErr w:type="spellEnd"/>
      <w:r w:rsidR="00690C76" w:rsidRPr="00690C76">
        <w:t xml:space="preserve"> или аналог</w:t>
      </w:r>
      <w:r>
        <w:t>)</w:t>
      </w:r>
      <w:r w:rsidR="00690C76">
        <w:t>.</w:t>
      </w:r>
    </w:p>
    <w:sectPr w:rsidR="0084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E58EF"/>
    <w:multiLevelType w:val="hybridMultilevel"/>
    <w:tmpl w:val="C9148E88"/>
    <w:lvl w:ilvl="0" w:tplc="DC844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4"/>
    <w:rsid w:val="0000562B"/>
    <w:rsid w:val="000066A7"/>
    <w:rsid w:val="00015C4B"/>
    <w:rsid w:val="00040234"/>
    <w:rsid w:val="00052624"/>
    <w:rsid w:val="000E016A"/>
    <w:rsid w:val="000F0D9D"/>
    <w:rsid w:val="00116C86"/>
    <w:rsid w:val="00140F37"/>
    <w:rsid w:val="00190180"/>
    <w:rsid w:val="001A2268"/>
    <w:rsid w:val="002242CB"/>
    <w:rsid w:val="0024053C"/>
    <w:rsid w:val="00262EA3"/>
    <w:rsid w:val="00290ECF"/>
    <w:rsid w:val="00291C5D"/>
    <w:rsid w:val="00293492"/>
    <w:rsid w:val="002C5466"/>
    <w:rsid w:val="002E3D9F"/>
    <w:rsid w:val="00351B18"/>
    <w:rsid w:val="00387F85"/>
    <w:rsid w:val="003C222C"/>
    <w:rsid w:val="003E5A3C"/>
    <w:rsid w:val="003F086E"/>
    <w:rsid w:val="0040323F"/>
    <w:rsid w:val="004052E2"/>
    <w:rsid w:val="004116BF"/>
    <w:rsid w:val="00415BEE"/>
    <w:rsid w:val="00435FCE"/>
    <w:rsid w:val="00497867"/>
    <w:rsid w:val="004C3445"/>
    <w:rsid w:val="004C50A5"/>
    <w:rsid w:val="004D371E"/>
    <w:rsid w:val="004D6D46"/>
    <w:rsid w:val="00515290"/>
    <w:rsid w:val="00527BA7"/>
    <w:rsid w:val="0054316D"/>
    <w:rsid w:val="00564328"/>
    <w:rsid w:val="005704F3"/>
    <w:rsid w:val="00585F90"/>
    <w:rsid w:val="005C609F"/>
    <w:rsid w:val="005F7797"/>
    <w:rsid w:val="00690C76"/>
    <w:rsid w:val="0069692F"/>
    <w:rsid w:val="006F4095"/>
    <w:rsid w:val="007670C6"/>
    <w:rsid w:val="00777799"/>
    <w:rsid w:val="007C5C2D"/>
    <w:rsid w:val="00831843"/>
    <w:rsid w:val="00847AD0"/>
    <w:rsid w:val="00851937"/>
    <w:rsid w:val="00874104"/>
    <w:rsid w:val="008E1F15"/>
    <w:rsid w:val="00915524"/>
    <w:rsid w:val="009252CE"/>
    <w:rsid w:val="00934D29"/>
    <w:rsid w:val="00954647"/>
    <w:rsid w:val="00987187"/>
    <w:rsid w:val="009953AB"/>
    <w:rsid w:val="009A445B"/>
    <w:rsid w:val="009B1BAF"/>
    <w:rsid w:val="009F5303"/>
    <w:rsid w:val="009F5325"/>
    <w:rsid w:val="00A57B67"/>
    <w:rsid w:val="00AF3DD6"/>
    <w:rsid w:val="00AF4B84"/>
    <w:rsid w:val="00B230BA"/>
    <w:rsid w:val="00B53134"/>
    <w:rsid w:val="00B959A5"/>
    <w:rsid w:val="00C03E2C"/>
    <w:rsid w:val="00C078DD"/>
    <w:rsid w:val="00C244BF"/>
    <w:rsid w:val="00CA5345"/>
    <w:rsid w:val="00CD45FA"/>
    <w:rsid w:val="00CE53DB"/>
    <w:rsid w:val="00CF24BF"/>
    <w:rsid w:val="00D02BDF"/>
    <w:rsid w:val="00D10853"/>
    <w:rsid w:val="00D377F5"/>
    <w:rsid w:val="00DE0ADF"/>
    <w:rsid w:val="00DF02E7"/>
    <w:rsid w:val="00E21724"/>
    <w:rsid w:val="00E24546"/>
    <w:rsid w:val="00E35BF7"/>
    <w:rsid w:val="00E80A0F"/>
    <w:rsid w:val="00E84740"/>
    <w:rsid w:val="00ED54C6"/>
    <w:rsid w:val="00F16C30"/>
    <w:rsid w:val="00F34F49"/>
    <w:rsid w:val="00F5388D"/>
    <w:rsid w:val="00F94382"/>
    <w:rsid w:val="00F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4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DD"/>
    <w:pPr>
      <w:ind w:left="720"/>
      <w:contextualSpacing/>
    </w:pPr>
  </w:style>
  <w:style w:type="table" w:styleId="a4">
    <w:name w:val="Table Grid"/>
    <w:basedOn w:val="a1"/>
    <w:uiPriority w:val="39"/>
    <w:rsid w:val="00543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05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5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DD"/>
    <w:pPr>
      <w:ind w:left="720"/>
      <w:contextualSpacing/>
    </w:pPr>
  </w:style>
  <w:style w:type="table" w:styleId="a4">
    <w:name w:val="Table Grid"/>
    <w:basedOn w:val="a1"/>
    <w:uiPriority w:val="39"/>
    <w:rsid w:val="00543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05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433B4-DD3B-4DA5-934C-49636E60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Серебрянников</cp:lastModifiedBy>
  <cp:revision>3</cp:revision>
  <cp:lastPrinted>2022-10-03T12:08:00Z</cp:lastPrinted>
  <dcterms:created xsi:type="dcterms:W3CDTF">2023-01-18T08:19:00Z</dcterms:created>
  <dcterms:modified xsi:type="dcterms:W3CDTF">2023-01-18T08:22:00Z</dcterms:modified>
</cp:coreProperties>
</file>